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56"/>
          <w:szCs w:val="44"/>
          <w:u w:val="single"/>
        </w:rPr>
      </w:pPr>
      <w:r>
        <w:rPr>
          <w:b/>
          <w:sz w:val="56"/>
          <w:szCs w:val="44"/>
          <w:u w:val="single"/>
        </w:rPr>
        <w:t>Money Matters Cards Explained</w:t>
      </w:r>
    </w:p>
    <w:p>
      <w:pPr>
        <w:rPr>
          <w:rStyle w:val="ilfuvd"/>
          <w:rFonts w:ascii="Arial" w:hAnsi="Arial" w:cs="Arial"/>
          <w:color w:val="222222"/>
        </w:rPr>
      </w:pPr>
      <w:bookmarkStart w:id="0" w:name="_GoBack"/>
      <w:bookmarkEnd w:id="0"/>
    </w:p>
    <w:p>
      <w:pPr>
        <w:rPr>
          <w:rStyle w:val="ilfuvd"/>
          <w:rFonts w:ascii="Arial" w:hAnsi="Arial" w:cs="Arial"/>
          <w:color w:val="222222"/>
          <w:sz w:val="24"/>
          <w:szCs w:val="24"/>
        </w:rPr>
      </w:pPr>
      <w:r>
        <w:rPr>
          <w:rStyle w:val="ilfuvd"/>
          <w:rFonts w:ascii="Arial" w:hAnsi="Arial" w:cs="Arial"/>
          <w:color w:val="222222"/>
          <w:sz w:val="40"/>
          <w:szCs w:val="24"/>
        </w:rPr>
        <w:t>An annual percentage rate (</w:t>
      </w:r>
      <w:r>
        <w:rPr>
          <w:rStyle w:val="ilfuvd"/>
          <w:rFonts w:ascii="Arial" w:hAnsi="Arial" w:cs="Arial"/>
          <w:b/>
          <w:bCs/>
          <w:color w:val="222222"/>
          <w:sz w:val="40"/>
          <w:szCs w:val="24"/>
        </w:rPr>
        <w:t>APR</w:t>
      </w:r>
      <w:r>
        <w:rPr>
          <w:rStyle w:val="ilfuvd"/>
          <w:rFonts w:ascii="Arial" w:hAnsi="Arial" w:cs="Arial"/>
          <w:color w:val="222222"/>
          <w:sz w:val="40"/>
          <w:szCs w:val="24"/>
        </w:rPr>
        <w:t>) is the annual rate charged for borrowing or earned through an investment, and is expressed as a percentage that represents the actual yearly cost of funds over the term of a loan</w:t>
      </w:r>
      <w:r>
        <w:rPr>
          <w:rStyle w:val="ilfuvd"/>
          <w:rFonts w:ascii="Arial" w:hAnsi="Arial" w:cs="Arial"/>
          <w:color w:val="222222"/>
          <w:sz w:val="24"/>
          <w:szCs w:val="24"/>
        </w:rPr>
        <w:t>.</w:t>
      </w:r>
    </w:p>
    <w:p>
      <w:pPr>
        <w:rPr>
          <w:rStyle w:val="ilfuvd"/>
          <w:rFonts w:ascii="Arial" w:hAnsi="Arial" w:cs="Arial"/>
          <w:color w:val="222222"/>
          <w:sz w:val="24"/>
          <w:szCs w:val="24"/>
        </w:rPr>
      </w:pPr>
      <w:r>
        <w:rPr>
          <w:rFonts w:ascii="Arial" w:hAnsi="Arial" w:cs="Arial"/>
          <w:noProof/>
          <w:color w:val="222222"/>
          <w:sz w:val="24"/>
          <w:szCs w:val="24"/>
          <w:lang w:eastAsia="en-GB"/>
        </w:rPr>
        <w:drawing>
          <wp:anchor distT="0" distB="0" distL="114300" distR="114300" simplePos="0" relativeHeight="251658240" behindDoc="0" locked="0" layoutInCell="1" allowOverlap="1">
            <wp:simplePos x="0" y="0"/>
            <wp:positionH relativeFrom="column">
              <wp:posOffset>-679450</wp:posOffset>
            </wp:positionH>
            <wp:positionV relativeFrom="paragraph">
              <wp:posOffset>140335</wp:posOffset>
            </wp:positionV>
            <wp:extent cx="2501265" cy="1304925"/>
            <wp:effectExtent l="0" t="0" r="0" b="9525"/>
            <wp:wrapSquare wrapText="bothSides"/>
            <wp:docPr id="2" name="Picture 2" descr="N:\ECDL\store card.store card storecard stor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CDL\store card.store card storecard storeca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26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lfuvd"/>
          <w:rFonts w:ascii="Arial" w:hAnsi="Arial" w:cs="Arial"/>
          <w:color w:val="222222"/>
          <w:sz w:val="24"/>
          <w:szCs w:val="24"/>
        </w:rPr>
        <w:t xml:space="preserve"> </w:t>
      </w:r>
    </w:p>
    <w:p>
      <w:pPr>
        <w:rPr>
          <w:rStyle w:val="ilfuvd"/>
          <w:rFonts w:ascii="Arial" w:hAnsi="Arial" w:cs="Arial"/>
          <w:color w:val="222222"/>
          <w:sz w:val="36"/>
          <w:szCs w:val="24"/>
        </w:rPr>
      </w:pPr>
      <w:r>
        <w:rPr>
          <w:rStyle w:val="ilfuvd"/>
          <w:rFonts w:ascii="Arial" w:hAnsi="Arial" w:cs="Arial"/>
          <w:color w:val="222222"/>
          <w:sz w:val="36"/>
          <w:szCs w:val="24"/>
        </w:rPr>
        <w:t>A store card is card with unlimited money that you can spend on that particular store such as New Look, Next and Primark. Store cards often have high annual percentage rate (APR).</w:t>
      </w:r>
    </w:p>
    <w:p>
      <w:pPr>
        <w:rPr>
          <w:rStyle w:val="ilfuvd"/>
          <w:rFonts w:ascii="Arial" w:hAnsi="Arial" w:cs="Arial"/>
          <w:color w:val="222222"/>
          <w:sz w:val="24"/>
          <w:szCs w:val="24"/>
        </w:rPr>
      </w:pPr>
    </w:p>
    <w:p>
      <w:pPr>
        <w:rPr>
          <w:rStyle w:val="ilfuvd"/>
          <w:rFonts w:ascii="Arial" w:hAnsi="Arial" w:cs="Arial"/>
          <w:color w:val="222222"/>
          <w:sz w:val="24"/>
          <w:szCs w:val="24"/>
        </w:rPr>
      </w:pPr>
      <w:r>
        <w:rPr>
          <w:rStyle w:val="ilfuvd"/>
          <w:rFonts w:ascii="Arial" w:hAnsi="Arial" w:cs="Arial"/>
          <w:color w:val="222222"/>
          <w:sz w:val="24"/>
          <w:szCs w:val="24"/>
        </w:rPr>
        <w:t xml:space="preserve">          .</w:t>
      </w:r>
    </w:p>
    <w:p>
      <w:pPr>
        <w:rPr>
          <w:rStyle w:val="ilfuvd"/>
          <w:rFonts w:ascii="Arial" w:hAnsi="Arial" w:cs="Arial"/>
          <w:color w:val="222222"/>
          <w:sz w:val="24"/>
          <w:szCs w:val="24"/>
        </w:rPr>
      </w:pPr>
      <w:r>
        <w:rPr>
          <w:rFonts w:ascii="Arial" w:hAnsi="Arial" w:cs="Arial"/>
          <w:noProof/>
          <w:color w:val="222222"/>
          <w:sz w:val="24"/>
          <w:szCs w:val="24"/>
          <w:lang w:eastAsia="en-GB"/>
        </w:rPr>
        <w:drawing>
          <wp:anchor distT="0" distB="0" distL="114300" distR="114300" simplePos="0" relativeHeight="251659264" behindDoc="0" locked="0" layoutInCell="1" allowOverlap="1">
            <wp:simplePos x="0" y="0"/>
            <wp:positionH relativeFrom="column">
              <wp:posOffset>-710565</wp:posOffset>
            </wp:positionH>
            <wp:positionV relativeFrom="paragraph">
              <wp:posOffset>227330</wp:posOffset>
            </wp:positionV>
            <wp:extent cx="2809875" cy="1870075"/>
            <wp:effectExtent l="0" t="0" r="9525" b="0"/>
            <wp:wrapSquare wrapText="bothSides"/>
            <wp:docPr id="3" name="Picture 3" descr="N:\ECDL\credit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CDL\credit 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Style w:val="ilfuvd"/>
          <w:rFonts w:ascii="Arial" w:hAnsi="Arial" w:cs="Arial"/>
          <w:color w:val="222222"/>
          <w:sz w:val="24"/>
          <w:szCs w:val="24"/>
        </w:rPr>
      </w:pPr>
      <w:r>
        <w:rPr>
          <w:rStyle w:val="ilfuvd"/>
          <w:rFonts w:ascii="Arial" w:hAnsi="Arial" w:cs="Arial"/>
          <w:color w:val="222222"/>
          <w:sz w:val="36"/>
          <w:szCs w:val="24"/>
        </w:rPr>
        <w:t>A credit card is a card issued by a financial company which enables the cardholder to borrow funds. The funds may be used as payment for goods and services. Issuance of credit cards has the condition that the cardholder will pay back the original, borrowed amount plus any additional agreed-upon charges (APR).</w:t>
      </w:r>
    </w:p>
    <w:p>
      <w:pPr>
        <w:rPr>
          <w:rStyle w:val="ilfuvd"/>
          <w:rFonts w:ascii="Arial" w:hAnsi="Arial" w:cs="Arial"/>
          <w:color w:val="222222"/>
          <w:sz w:val="24"/>
          <w:szCs w:val="24"/>
        </w:rPr>
      </w:pPr>
    </w:p>
    <w:p>
      <w:pPr>
        <w:rPr>
          <w:rFonts w:ascii="Arial" w:hAnsi="Arial" w:cs="Arial"/>
          <w:sz w:val="24"/>
          <w:szCs w:val="24"/>
          <w:lang w:val="en"/>
        </w:rPr>
      </w:pPr>
    </w:p>
    <w:p>
      <w:pPr>
        <w:rPr>
          <w:rFonts w:ascii="Arial" w:hAnsi="Arial" w:cs="Arial"/>
          <w:sz w:val="24"/>
          <w:szCs w:val="24"/>
          <w:lang w:val="en"/>
        </w:rPr>
      </w:pPr>
    </w:p>
    <w:p>
      <w:pPr>
        <w:rPr>
          <w:rStyle w:val="ilfuvd"/>
          <w:rFonts w:ascii="Arial" w:hAnsi="Arial" w:cs="Arial"/>
          <w:sz w:val="24"/>
          <w:szCs w:val="24"/>
          <w:lang w:val="en"/>
        </w:rPr>
      </w:pPr>
      <w:r>
        <w:rPr>
          <w:rFonts w:ascii="Arial" w:hAnsi="Arial" w:cs="Arial"/>
          <w:noProof/>
          <w:color w:val="222222"/>
          <w:sz w:val="24"/>
          <w:szCs w:val="24"/>
          <w:lang w:eastAsia="en-GB"/>
        </w:rPr>
        <w:drawing>
          <wp:anchor distT="0" distB="0" distL="114300" distR="114300" simplePos="0" relativeHeight="251660288" behindDoc="0" locked="0" layoutInCell="1" allowOverlap="1">
            <wp:simplePos x="0" y="0"/>
            <wp:positionH relativeFrom="column">
              <wp:posOffset>-711835</wp:posOffset>
            </wp:positionH>
            <wp:positionV relativeFrom="paragraph">
              <wp:posOffset>98425</wp:posOffset>
            </wp:positionV>
            <wp:extent cx="2466975" cy="1904365"/>
            <wp:effectExtent l="0" t="0" r="9525" b="635"/>
            <wp:wrapSquare wrapText="bothSides"/>
            <wp:docPr id="4" name="Picture 4" descr="N:\ECDL\debit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CDL\debit c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24"/>
          <w:lang w:val="en"/>
        </w:rPr>
        <w:t>A debit card (also known as a bank card or check card) is a plastic payment card that can be used instead of cash when making purchases. It is similar to a credit card, but unlike a credit card, the money comes directly from the user's bank account when performing a transaction.</w:t>
      </w:r>
    </w:p>
    <w:p>
      <w:pPr>
        <w:rPr>
          <w:rStyle w:val="ilfuvd"/>
          <w:rFonts w:ascii="Arial" w:hAnsi="Arial" w:cs="Arial"/>
          <w:color w:val="222222"/>
          <w:sz w:val="24"/>
          <w:szCs w:val="24"/>
        </w:rPr>
      </w:pPr>
    </w:p>
    <w:p>
      <w:pPr>
        <w:rPr>
          <w:rStyle w:val="ilfuvd"/>
          <w:rFonts w:ascii="Arial" w:hAnsi="Arial" w:cs="Arial"/>
          <w:color w:val="222222"/>
          <w:sz w:val="24"/>
          <w:szCs w:val="24"/>
        </w:rPr>
      </w:pPr>
    </w:p>
    <w:p>
      <w:pPr>
        <w:rPr>
          <w:rFonts w:ascii="Verdana" w:hAnsi="Verdana" w:cs="Arial"/>
          <w:color w:val="333333"/>
          <w:sz w:val="24"/>
          <w:szCs w:val="24"/>
        </w:rPr>
      </w:pPr>
    </w:p>
    <w:p>
      <w:pPr>
        <w:rPr>
          <w:rFonts w:ascii="Verdana" w:hAnsi="Verdana" w:cs="Arial"/>
          <w:color w:val="333333"/>
          <w:sz w:val="24"/>
          <w:szCs w:val="24"/>
        </w:rPr>
      </w:pPr>
      <w:r>
        <w:rPr>
          <w:rFonts w:ascii="Arial" w:hAnsi="Arial" w:cs="Arial"/>
          <w:noProof/>
          <w:color w:val="222222"/>
          <w:sz w:val="24"/>
          <w:szCs w:val="24"/>
          <w:lang w:eastAsia="en-GB"/>
        </w:rPr>
        <w:drawing>
          <wp:anchor distT="0" distB="0" distL="114300" distR="114300" simplePos="0" relativeHeight="251664384" behindDoc="0" locked="0" layoutInCell="1" allowOverlap="1">
            <wp:simplePos x="0" y="0"/>
            <wp:positionH relativeFrom="column">
              <wp:posOffset>4556125</wp:posOffset>
            </wp:positionH>
            <wp:positionV relativeFrom="paragraph">
              <wp:posOffset>1699260</wp:posOffset>
            </wp:positionV>
            <wp:extent cx="2873375" cy="103695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t logo.png"/>
                    <pic:cNvPicPr/>
                  </pic:nvPicPr>
                  <pic:blipFill>
                    <a:blip r:embed="rId10">
                      <a:extLst>
                        <a:ext uri="{28A0092B-C50C-407E-A947-70E740481C1C}">
                          <a14:useLocalDpi xmlns:a14="http://schemas.microsoft.com/office/drawing/2010/main" val="0"/>
                        </a:ext>
                      </a:extLst>
                    </a:blip>
                    <a:stretch>
                      <a:fillRect/>
                    </a:stretch>
                  </pic:blipFill>
                  <pic:spPr>
                    <a:xfrm>
                      <a:off x="0" y="0"/>
                      <a:ext cx="2873375" cy="10369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color w:val="333333"/>
          <w:sz w:val="24"/>
          <w:szCs w:val="24"/>
          <w:lang w:eastAsia="en-GB"/>
        </w:rPr>
        <w:drawing>
          <wp:anchor distT="0" distB="0" distL="114300" distR="114300" simplePos="0" relativeHeight="251663360" behindDoc="0" locked="0" layoutInCell="1" allowOverlap="1">
            <wp:simplePos x="0" y="0"/>
            <wp:positionH relativeFrom="column">
              <wp:posOffset>4569460</wp:posOffset>
            </wp:positionH>
            <wp:positionV relativeFrom="paragraph">
              <wp:posOffset>2735580</wp:posOffset>
            </wp:positionV>
            <wp:extent cx="2580640" cy="763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png"/>
                    <pic:cNvPicPr/>
                  </pic:nvPicPr>
                  <pic:blipFill>
                    <a:blip r:embed="rId11">
                      <a:extLst>
                        <a:ext uri="{28A0092B-C50C-407E-A947-70E740481C1C}">
                          <a14:useLocalDpi xmlns:a14="http://schemas.microsoft.com/office/drawing/2010/main" val="0"/>
                        </a:ext>
                      </a:extLst>
                    </a:blip>
                    <a:stretch>
                      <a:fillRect/>
                    </a:stretch>
                  </pic:blipFill>
                  <pic:spPr>
                    <a:xfrm>
                      <a:off x="0" y="0"/>
                      <a:ext cx="2580640" cy="763905"/>
                    </a:xfrm>
                    <a:prstGeom prst="rect">
                      <a:avLst/>
                    </a:prstGeom>
                  </pic:spPr>
                </pic:pic>
              </a:graphicData>
            </a:graphic>
            <wp14:sizeRelH relativeFrom="page">
              <wp14:pctWidth>0</wp14:pctWidth>
            </wp14:sizeRelH>
            <wp14:sizeRelV relativeFrom="page">
              <wp14:pctHeight>0</wp14:pctHeight>
            </wp14:sizeRelV>
          </wp:anchor>
        </w:drawing>
      </w:r>
      <w:r>
        <w:rPr>
          <w:b/>
          <w:noProof/>
          <w:sz w:val="56"/>
          <w:szCs w:val="44"/>
          <w:u w:val="single"/>
          <w:lang w:eastAsia="en-GB"/>
        </w:rPr>
        <w:drawing>
          <wp:anchor distT="0" distB="0" distL="114300" distR="114300" simplePos="0" relativeHeight="251662336" behindDoc="0" locked="0" layoutInCell="1" allowOverlap="1">
            <wp:simplePos x="0" y="0"/>
            <wp:positionH relativeFrom="column">
              <wp:posOffset>7519035</wp:posOffset>
            </wp:positionH>
            <wp:positionV relativeFrom="paragraph">
              <wp:posOffset>1337945</wp:posOffset>
            </wp:positionV>
            <wp:extent cx="1831975" cy="230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matter logo.jpg"/>
                    <pic:cNvPicPr/>
                  </pic:nvPicPr>
                  <pic:blipFill>
                    <a:blip r:embed="rId12">
                      <a:extLst>
                        <a:ext uri="{28A0092B-C50C-407E-A947-70E740481C1C}">
                          <a14:useLocalDpi xmlns:a14="http://schemas.microsoft.com/office/drawing/2010/main" val="0"/>
                        </a:ext>
                      </a:extLst>
                    </a:blip>
                    <a:stretch>
                      <a:fillRect/>
                    </a:stretch>
                  </pic:blipFill>
                  <pic:spPr>
                    <a:xfrm>
                      <a:off x="0" y="0"/>
                      <a:ext cx="1831975" cy="230632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1312" behindDoc="0" locked="0" layoutInCell="1" allowOverlap="1">
            <wp:simplePos x="0" y="0"/>
            <wp:positionH relativeFrom="column">
              <wp:posOffset>-846455</wp:posOffset>
            </wp:positionH>
            <wp:positionV relativeFrom="paragraph">
              <wp:posOffset>118110</wp:posOffset>
            </wp:positionV>
            <wp:extent cx="2647950" cy="1524000"/>
            <wp:effectExtent l="0" t="0" r="0" b="0"/>
            <wp:wrapSquare wrapText="bothSides"/>
            <wp:docPr id="5" name="Picture 5" descr="N:\ECDL\loyalty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CDL\loyalty c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333333"/>
          <w:sz w:val="36"/>
          <w:szCs w:val="24"/>
        </w:rPr>
        <w:t>The larger stores offer customers loyalty cards. When the customer shops at the store they're awarded a set number of points depending on how much they spend. The loyalty card stores their points.</w:t>
      </w:r>
      <w:r>
        <w:rPr>
          <w:rFonts w:ascii="Verdana" w:hAnsi="Verdana" w:cs="Arial"/>
          <w:noProof/>
          <w:color w:val="333333"/>
          <w:sz w:val="24"/>
          <w:szCs w:val="24"/>
          <w:lang w:eastAsia="en-GB"/>
        </w:rPr>
        <w:t xml:space="preserve"> </w:t>
      </w:r>
    </w:p>
    <w:sectPr>
      <w:footerReference w:type="default" r:id="rId14"/>
      <w:pgSz w:w="16839" w:h="23814"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Produced by Harry Carter and Tyler Brown, Money Matters Peer Leaders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Eleanor Gould</cp:lastModifiedBy>
  <cp:revision>2</cp:revision>
  <cp:lastPrinted>2018-09-12T09:35:00Z</cp:lastPrinted>
  <dcterms:created xsi:type="dcterms:W3CDTF">2018-09-13T09:41:00Z</dcterms:created>
  <dcterms:modified xsi:type="dcterms:W3CDTF">2018-09-13T09:41:00Z</dcterms:modified>
</cp:coreProperties>
</file>